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PŘÍLOHA Č. 2 - 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Adresát: </w:t>
      </w:r>
      <w:r w:rsidDel="00000000" w:rsidR="00000000" w:rsidRPr="00000000">
        <w:rPr>
          <w:rtl w:val="0"/>
        </w:rPr>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0"/>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KAJIN s.r.o.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7">
      <w:pPr>
        <w:spacing w:after="200" w:line="300" w:lineRule="auto"/>
        <w:jc w:val="both"/>
        <w:rPr/>
      </w:pPr>
      <w:r w:rsidDel="00000000" w:rsidR="00000000" w:rsidRPr="00000000">
        <w:rPr>
          <w:rFonts w:ascii="Calibri" w:cs="Calibri" w:eastAsia="Calibri" w:hAnsi="Calibri"/>
          <w:sz w:val="20"/>
          <w:szCs w:val="20"/>
          <w:rtl w:val="0"/>
        </w:rPr>
        <w:t xml:space="preserve">Podpis: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